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B863" w14:textId="277384B0" w:rsidR="00290C76" w:rsidRDefault="00290C76">
      <w:r>
        <w:rPr>
          <w:noProof/>
        </w:rPr>
        <w:drawing>
          <wp:anchor distT="0" distB="0" distL="114300" distR="114300" simplePos="0" relativeHeight="251660288" behindDoc="0" locked="0" layoutInCell="1" allowOverlap="1" wp14:anchorId="15B62995" wp14:editId="12343D17">
            <wp:simplePos x="0" y="0"/>
            <wp:positionH relativeFrom="margin">
              <wp:posOffset>-946150</wp:posOffset>
            </wp:positionH>
            <wp:positionV relativeFrom="margin">
              <wp:posOffset>-930008</wp:posOffset>
            </wp:positionV>
            <wp:extent cx="7780020" cy="10170160"/>
            <wp:effectExtent l="0" t="0" r="5080" b="2540"/>
            <wp:wrapSquare wrapText="bothSides"/>
            <wp:docPr id="591391960" name="Picture 1" descr="A book cover with a few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91960" name="Picture 1" descr="A book cover with a few book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7780020" cy="10170160"/>
                    </a:xfrm>
                    <a:prstGeom prst="rect">
                      <a:avLst/>
                    </a:prstGeom>
                  </pic:spPr>
                </pic:pic>
              </a:graphicData>
            </a:graphic>
            <wp14:sizeRelH relativeFrom="margin">
              <wp14:pctWidth>0</wp14:pctWidth>
            </wp14:sizeRelH>
            <wp14:sizeRelV relativeFrom="margin">
              <wp14:pctHeight>0</wp14:pctHeight>
            </wp14:sizeRelV>
          </wp:anchor>
        </w:drawing>
      </w:r>
    </w:p>
    <w:p w14:paraId="60320D42" w14:textId="77777777" w:rsidR="00B800F6" w:rsidRPr="008C19AA" w:rsidRDefault="00B800F6" w:rsidP="00B800F6">
      <w:pPr>
        <w:pStyle w:val="p1"/>
        <w:jc w:val="center"/>
        <w:rPr>
          <w:b/>
          <w:bCs/>
        </w:rPr>
      </w:pPr>
      <w:r w:rsidRPr="008C19AA">
        <w:rPr>
          <w:b/>
          <w:bCs/>
        </w:rPr>
        <w:lastRenderedPageBreak/>
        <w:t>INTERPROFESSIONAL EDUCATION: MODELS THAT CONTRIBUTE TO HEALTH IMPROVEMENT THROUGH ENHANCED EDUCATION AND PRACTICE</w:t>
      </w:r>
    </w:p>
    <w:p w14:paraId="7B3385CC" w14:textId="77777777" w:rsidR="00B800F6" w:rsidRPr="008C19AA" w:rsidRDefault="00B800F6" w:rsidP="00B800F6">
      <w:pPr>
        <w:pStyle w:val="Heading1"/>
        <w:shd w:val="clear" w:color="auto" w:fill="FFFFFF"/>
        <w:spacing w:before="0" w:after="60" w:line="240" w:lineRule="auto"/>
        <w:rPr>
          <w:rFonts w:ascii="Times New Roman" w:hAnsi="Times New Roman" w:cs="Times New Roman"/>
          <w:b/>
          <w:i/>
          <w:iCs/>
          <w:color w:val="242424"/>
          <w:sz w:val="20"/>
          <w:szCs w:val="20"/>
        </w:rPr>
      </w:pPr>
      <w:r w:rsidRPr="008C19AA">
        <w:rPr>
          <w:rFonts w:ascii="Times New Roman" w:hAnsi="Times New Roman" w:cs="Times New Roman"/>
          <w:i/>
          <w:iCs/>
          <w:sz w:val="20"/>
          <w:szCs w:val="20"/>
          <w:lang w:val="sr-Latn-RS"/>
        </w:rPr>
        <w:t>Lea Neškov</w:t>
      </w:r>
      <w:r w:rsidRPr="008C19AA">
        <w:rPr>
          <w:rFonts w:ascii="Times New Roman" w:hAnsi="Times New Roman" w:cs="Times New Roman"/>
          <w:i/>
          <w:iCs/>
          <w:sz w:val="20"/>
          <w:szCs w:val="20"/>
          <w:vertAlign w:val="superscript"/>
          <w:lang w:val="sr-Latn-RS"/>
        </w:rPr>
        <w:t>1</w:t>
      </w:r>
      <w:r w:rsidRPr="008C19AA">
        <w:rPr>
          <w:rFonts w:ascii="Times New Roman" w:hAnsi="Times New Roman" w:cs="Times New Roman"/>
          <w:i/>
          <w:iCs/>
          <w:sz w:val="20"/>
          <w:szCs w:val="20"/>
          <w:lang w:val="sr-Latn-RS"/>
        </w:rPr>
        <w:t>, Martin Henman</w:t>
      </w:r>
      <w:r w:rsidRPr="008C19AA">
        <w:rPr>
          <w:rFonts w:ascii="Times New Roman" w:hAnsi="Times New Roman" w:cs="Times New Roman"/>
          <w:i/>
          <w:iCs/>
          <w:sz w:val="20"/>
          <w:szCs w:val="20"/>
          <w:vertAlign w:val="superscript"/>
          <w:lang w:val="sr-Latn-RS"/>
        </w:rPr>
        <w:t>2</w:t>
      </w:r>
      <w:r w:rsidRPr="008C19AA">
        <w:rPr>
          <w:rFonts w:ascii="Times New Roman" w:hAnsi="Times New Roman" w:cs="Times New Roman"/>
          <w:i/>
          <w:iCs/>
          <w:sz w:val="20"/>
          <w:szCs w:val="20"/>
          <w:lang w:val="sr-Latn-RS"/>
        </w:rPr>
        <w:t xml:space="preserve">; Magdalena </w:t>
      </w:r>
      <w:r w:rsidRPr="008C19AA">
        <w:rPr>
          <w:rFonts w:ascii="Times New Roman" w:hAnsi="Times New Roman" w:cs="Times New Roman"/>
          <w:i/>
          <w:iCs/>
          <w:color w:val="242424"/>
          <w:sz w:val="20"/>
          <w:szCs w:val="20"/>
        </w:rPr>
        <w:t>Waszyk-Nowaczyk</w:t>
      </w:r>
      <w:r w:rsidRPr="008C19AA">
        <w:rPr>
          <w:rFonts w:ascii="Times New Roman" w:hAnsi="Times New Roman" w:cs="Times New Roman"/>
          <w:i/>
          <w:iCs/>
          <w:color w:val="242424"/>
          <w:sz w:val="20"/>
          <w:szCs w:val="20"/>
          <w:vertAlign w:val="superscript"/>
        </w:rPr>
        <w:t>3</w:t>
      </w:r>
      <w:r w:rsidRPr="008C19AA">
        <w:rPr>
          <w:rFonts w:ascii="Times New Roman" w:hAnsi="Times New Roman" w:cs="Times New Roman"/>
          <w:i/>
          <w:iCs/>
          <w:color w:val="242424"/>
          <w:sz w:val="20"/>
          <w:szCs w:val="20"/>
        </w:rPr>
        <w:t>, Jelena Parojčić</w:t>
      </w:r>
      <w:r w:rsidRPr="008C19AA">
        <w:rPr>
          <w:rFonts w:ascii="Times New Roman" w:hAnsi="Times New Roman" w:cs="Times New Roman"/>
          <w:i/>
          <w:iCs/>
          <w:sz w:val="20"/>
          <w:szCs w:val="20"/>
          <w:vertAlign w:val="superscript"/>
          <w:lang w:val="sr-Latn-RS"/>
        </w:rPr>
        <w:t>1</w:t>
      </w:r>
      <w:r w:rsidRPr="008C19AA">
        <w:rPr>
          <w:rFonts w:ascii="Times New Roman" w:hAnsi="Times New Roman" w:cs="Times New Roman"/>
          <w:i/>
          <w:iCs/>
          <w:color w:val="242424"/>
          <w:sz w:val="20"/>
          <w:szCs w:val="20"/>
        </w:rPr>
        <w:t>, Danijela Đukić Ćosić</w:t>
      </w:r>
      <w:r w:rsidRPr="008C19AA">
        <w:rPr>
          <w:rFonts w:ascii="Times New Roman" w:hAnsi="Times New Roman" w:cs="Times New Roman"/>
          <w:i/>
          <w:iCs/>
          <w:sz w:val="20"/>
          <w:szCs w:val="20"/>
          <w:vertAlign w:val="superscript"/>
          <w:lang w:val="sr-Latn-RS"/>
        </w:rPr>
        <w:t>1</w:t>
      </w:r>
      <w:r w:rsidRPr="008C19AA">
        <w:rPr>
          <w:rFonts w:ascii="Times New Roman" w:hAnsi="Times New Roman" w:cs="Times New Roman"/>
          <w:i/>
          <w:iCs/>
          <w:color w:val="242424"/>
          <w:sz w:val="20"/>
          <w:szCs w:val="20"/>
        </w:rPr>
        <w:t>, Andrijana Milošević Georgiev</w:t>
      </w:r>
      <w:r w:rsidRPr="008C19AA">
        <w:rPr>
          <w:rFonts w:ascii="Times New Roman" w:hAnsi="Times New Roman" w:cs="Times New Roman"/>
          <w:i/>
          <w:iCs/>
          <w:sz w:val="20"/>
          <w:szCs w:val="20"/>
          <w:vertAlign w:val="superscript"/>
          <w:lang w:val="sr-Latn-RS"/>
        </w:rPr>
        <w:t>1</w:t>
      </w:r>
      <w:r w:rsidRPr="008C19AA">
        <w:rPr>
          <w:rFonts w:ascii="Times New Roman" w:hAnsi="Times New Roman" w:cs="Times New Roman"/>
          <w:i/>
          <w:iCs/>
          <w:color w:val="242424"/>
          <w:sz w:val="20"/>
          <w:szCs w:val="20"/>
        </w:rPr>
        <w:t>, Ivanka Marković</w:t>
      </w:r>
      <w:r w:rsidRPr="008C19AA">
        <w:rPr>
          <w:rFonts w:ascii="Times New Roman" w:hAnsi="Times New Roman" w:cs="Times New Roman"/>
          <w:i/>
          <w:iCs/>
          <w:color w:val="242424"/>
          <w:sz w:val="20"/>
          <w:szCs w:val="20"/>
          <w:vertAlign w:val="superscript"/>
        </w:rPr>
        <w:t>4</w:t>
      </w:r>
      <w:r w:rsidRPr="008C19AA">
        <w:rPr>
          <w:rFonts w:ascii="Times New Roman" w:hAnsi="Times New Roman" w:cs="Times New Roman"/>
          <w:i/>
          <w:iCs/>
          <w:color w:val="242424"/>
          <w:sz w:val="20"/>
          <w:szCs w:val="20"/>
        </w:rPr>
        <w:t>, Ivana Nedeljović</w:t>
      </w:r>
      <w:r w:rsidRPr="008C19AA">
        <w:rPr>
          <w:rFonts w:ascii="Times New Roman" w:hAnsi="Times New Roman" w:cs="Times New Roman"/>
          <w:i/>
          <w:iCs/>
          <w:color w:val="242424"/>
          <w:sz w:val="20"/>
          <w:szCs w:val="20"/>
          <w:vertAlign w:val="superscript"/>
        </w:rPr>
        <w:t>4</w:t>
      </w:r>
      <w:r w:rsidRPr="008C19AA">
        <w:rPr>
          <w:rFonts w:ascii="Times New Roman" w:hAnsi="Times New Roman" w:cs="Times New Roman"/>
          <w:i/>
          <w:iCs/>
          <w:color w:val="242424"/>
          <w:sz w:val="20"/>
          <w:szCs w:val="20"/>
        </w:rPr>
        <w:t>, Milena Šantrić Milićević</w:t>
      </w:r>
      <w:r w:rsidRPr="008C19AA">
        <w:rPr>
          <w:rFonts w:ascii="Times New Roman" w:hAnsi="Times New Roman" w:cs="Times New Roman"/>
          <w:i/>
          <w:iCs/>
          <w:color w:val="242424"/>
          <w:sz w:val="20"/>
          <w:szCs w:val="20"/>
          <w:vertAlign w:val="superscript"/>
        </w:rPr>
        <w:t>4</w:t>
      </w:r>
      <w:r w:rsidRPr="008C19AA">
        <w:rPr>
          <w:rFonts w:ascii="Times New Roman" w:hAnsi="Times New Roman" w:cs="Times New Roman"/>
          <w:i/>
          <w:iCs/>
          <w:color w:val="242424"/>
          <w:sz w:val="20"/>
          <w:szCs w:val="20"/>
        </w:rPr>
        <w:t>, Jugoslav Ilić</w:t>
      </w:r>
      <w:r w:rsidRPr="008C19AA">
        <w:rPr>
          <w:rFonts w:ascii="Times New Roman" w:hAnsi="Times New Roman" w:cs="Times New Roman"/>
          <w:i/>
          <w:iCs/>
          <w:color w:val="242424"/>
          <w:sz w:val="20"/>
          <w:szCs w:val="20"/>
          <w:vertAlign w:val="superscript"/>
        </w:rPr>
        <w:t>5</w:t>
      </w:r>
      <w:r w:rsidRPr="008C19AA">
        <w:rPr>
          <w:rFonts w:ascii="Times New Roman" w:hAnsi="Times New Roman" w:cs="Times New Roman"/>
          <w:i/>
          <w:iCs/>
          <w:color w:val="242424"/>
          <w:sz w:val="20"/>
          <w:szCs w:val="20"/>
        </w:rPr>
        <w:t>, Jelena Roganović</w:t>
      </w:r>
      <w:r w:rsidRPr="008C19AA">
        <w:rPr>
          <w:rFonts w:ascii="Times New Roman" w:hAnsi="Times New Roman" w:cs="Times New Roman"/>
          <w:i/>
          <w:iCs/>
          <w:color w:val="242424"/>
          <w:sz w:val="20"/>
          <w:szCs w:val="20"/>
          <w:vertAlign w:val="superscript"/>
        </w:rPr>
        <w:t>5</w:t>
      </w:r>
      <w:r w:rsidRPr="008C19AA">
        <w:rPr>
          <w:rFonts w:ascii="Times New Roman" w:hAnsi="Times New Roman" w:cs="Times New Roman"/>
          <w:i/>
          <w:iCs/>
          <w:color w:val="242424"/>
          <w:sz w:val="20"/>
          <w:szCs w:val="20"/>
        </w:rPr>
        <w:t>, Sonja Nikić</w:t>
      </w:r>
      <w:r w:rsidRPr="008C19AA">
        <w:rPr>
          <w:rFonts w:ascii="Times New Roman" w:hAnsi="Times New Roman" w:cs="Times New Roman"/>
          <w:i/>
          <w:iCs/>
          <w:sz w:val="20"/>
          <w:szCs w:val="20"/>
          <w:vertAlign w:val="superscript"/>
          <w:lang w:val="sr-Latn-RS"/>
        </w:rPr>
        <w:t>1</w:t>
      </w:r>
      <w:r w:rsidRPr="008C19AA">
        <w:rPr>
          <w:rFonts w:ascii="Times New Roman" w:hAnsi="Times New Roman" w:cs="Times New Roman"/>
          <w:i/>
          <w:iCs/>
          <w:color w:val="242424"/>
          <w:sz w:val="20"/>
          <w:szCs w:val="20"/>
        </w:rPr>
        <w:t xml:space="preserve">, </w:t>
      </w:r>
      <w:r w:rsidRPr="008C19AA">
        <w:rPr>
          <w:rFonts w:ascii="Times New Roman" w:hAnsi="Times New Roman" w:cs="Times New Roman"/>
          <w:i/>
          <w:iCs/>
          <w:sz w:val="20"/>
          <w:szCs w:val="20"/>
          <w:lang w:val="sr-Latn-RS"/>
        </w:rPr>
        <w:t>Marina Odalović</w:t>
      </w:r>
      <w:r w:rsidRPr="008C19AA">
        <w:rPr>
          <w:rFonts w:ascii="Times New Roman" w:hAnsi="Times New Roman" w:cs="Times New Roman"/>
          <w:i/>
          <w:iCs/>
          <w:sz w:val="20"/>
          <w:szCs w:val="20"/>
          <w:vertAlign w:val="superscript"/>
          <w:lang w:val="sr-Latn-RS"/>
        </w:rPr>
        <w:t>1</w:t>
      </w:r>
    </w:p>
    <w:p w14:paraId="02A0E7BD" w14:textId="77777777" w:rsidR="00B800F6" w:rsidRPr="0093139C" w:rsidRDefault="00B800F6" w:rsidP="00B800F6">
      <w:pPr>
        <w:spacing w:after="0" w:line="240" w:lineRule="auto"/>
        <w:jc w:val="both"/>
        <w:rPr>
          <w:rFonts w:ascii="Times New Roman" w:hAnsi="Times New Roman" w:cs="Times New Roman"/>
          <w:i/>
          <w:iCs/>
          <w:sz w:val="20"/>
          <w:szCs w:val="20"/>
          <w:lang w:val="en-GB"/>
        </w:rPr>
      </w:pPr>
      <w:r w:rsidRPr="0093139C">
        <w:rPr>
          <w:rFonts w:ascii="Times New Roman" w:hAnsi="Times New Roman" w:cs="Times New Roman"/>
          <w:i/>
          <w:iCs/>
          <w:sz w:val="20"/>
          <w:szCs w:val="20"/>
          <w:vertAlign w:val="superscript"/>
          <w:lang w:val="en-GB"/>
        </w:rPr>
        <w:t>1</w:t>
      </w:r>
      <w:r w:rsidRPr="0093139C">
        <w:rPr>
          <w:rFonts w:ascii="Times New Roman" w:hAnsi="Times New Roman" w:cs="Times New Roman"/>
          <w:i/>
          <w:iCs/>
          <w:sz w:val="20"/>
          <w:szCs w:val="20"/>
          <w:lang w:val="en-GB"/>
        </w:rPr>
        <w:t>University of Belgrade, Faculty of Pharmacy, Serbia</w:t>
      </w:r>
    </w:p>
    <w:p w14:paraId="71E6DE1A" w14:textId="77777777" w:rsidR="00B800F6" w:rsidRPr="0093139C" w:rsidRDefault="00B800F6" w:rsidP="00B800F6">
      <w:pPr>
        <w:spacing w:after="0" w:line="240" w:lineRule="auto"/>
        <w:jc w:val="both"/>
        <w:rPr>
          <w:rFonts w:ascii="Times New Roman" w:hAnsi="Times New Roman" w:cs="Times New Roman"/>
          <w:i/>
          <w:iCs/>
          <w:noProof/>
          <w:sz w:val="20"/>
          <w:szCs w:val="20"/>
          <w:lang w:val="en-GB"/>
        </w:rPr>
      </w:pPr>
      <w:r w:rsidRPr="0093139C">
        <w:rPr>
          <w:rFonts w:ascii="Times New Roman" w:hAnsi="Times New Roman" w:cs="Times New Roman"/>
          <w:i/>
          <w:iCs/>
          <w:sz w:val="20"/>
          <w:szCs w:val="20"/>
          <w:vertAlign w:val="superscript"/>
          <w:lang w:val="en-GB"/>
        </w:rPr>
        <w:t>2</w:t>
      </w:r>
      <w:r w:rsidRPr="0093139C">
        <w:rPr>
          <w:rFonts w:ascii="Times New Roman" w:hAnsi="Times New Roman" w:cs="Times New Roman"/>
          <w:i/>
          <w:iCs/>
          <w:sz w:val="20"/>
          <w:szCs w:val="20"/>
          <w:lang w:val="en-GB"/>
        </w:rPr>
        <w:t xml:space="preserve"> School of Pharmacy and </w:t>
      </w:r>
      <w:r w:rsidRPr="0093139C">
        <w:rPr>
          <w:rFonts w:ascii="Times New Roman" w:hAnsi="Times New Roman" w:cs="Times New Roman"/>
          <w:i/>
          <w:iCs/>
          <w:noProof/>
          <w:sz w:val="20"/>
          <w:szCs w:val="20"/>
          <w:lang w:val="en-GB"/>
        </w:rPr>
        <w:t>Pharmaceutical Sciencies, Trinity College Dublin, Ireland</w:t>
      </w:r>
    </w:p>
    <w:p w14:paraId="40E37E3D" w14:textId="77777777" w:rsidR="00B800F6" w:rsidRPr="0093139C" w:rsidRDefault="00B800F6" w:rsidP="00B800F6">
      <w:pPr>
        <w:spacing w:after="0" w:line="240" w:lineRule="auto"/>
        <w:jc w:val="both"/>
        <w:rPr>
          <w:rFonts w:ascii="Times New Roman" w:hAnsi="Times New Roman" w:cs="Times New Roman"/>
          <w:i/>
          <w:iCs/>
          <w:noProof/>
          <w:sz w:val="20"/>
          <w:szCs w:val="20"/>
          <w:lang w:val="en-GB"/>
        </w:rPr>
      </w:pPr>
      <w:r w:rsidRPr="0093139C">
        <w:rPr>
          <w:rFonts w:ascii="Times New Roman" w:hAnsi="Times New Roman" w:cs="Times New Roman"/>
          <w:i/>
          <w:iCs/>
          <w:noProof/>
          <w:sz w:val="20"/>
          <w:szCs w:val="20"/>
          <w:vertAlign w:val="superscript"/>
          <w:lang w:val="en-GB"/>
        </w:rPr>
        <w:t>3</w:t>
      </w:r>
      <w:r w:rsidRPr="0093139C">
        <w:rPr>
          <w:rFonts w:ascii="Times New Roman" w:hAnsi="Times New Roman" w:cs="Times New Roman"/>
          <w:i/>
          <w:iCs/>
          <w:noProof/>
          <w:sz w:val="20"/>
          <w:szCs w:val="20"/>
          <w:lang w:val="en-GB"/>
        </w:rPr>
        <w:t xml:space="preserve"> Poznan University of Medical Sciencies, Poland</w:t>
      </w:r>
    </w:p>
    <w:p w14:paraId="726EBF0D" w14:textId="77777777" w:rsidR="00B800F6" w:rsidRPr="0093139C" w:rsidRDefault="00B800F6" w:rsidP="00B800F6">
      <w:pPr>
        <w:spacing w:after="0" w:line="240" w:lineRule="auto"/>
        <w:jc w:val="both"/>
        <w:rPr>
          <w:rFonts w:ascii="Times New Roman" w:hAnsi="Times New Roman" w:cs="Times New Roman"/>
          <w:i/>
          <w:iCs/>
          <w:sz w:val="20"/>
          <w:szCs w:val="20"/>
          <w:lang w:val="en-GB"/>
        </w:rPr>
      </w:pPr>
      <w:r w:rsidRPr="0093139C">
        <w:rPr>
          <w:rFonts w:ascii="Times New Roman" w:hAnsi="Times New Roman" w:cs="Times New Roman"/>
          <w:i/>
          <w:iCs/>
          <w:sz w:val="20"/>
          <w:szCs w:val="20"/>
          <w:vertAlign w:val="superscript"/>
          <w:lang w:val="en-GB"/>
        </w:rPr>
        <w:t>4</w:t>
      </w:r>
      <w:r w:rsidRPr="0093139C">
        <w:rPr>
          <w:rFonts w:ascii="Times New Roman" w:hAnsi="Times New Roman" w:cs="Times New Roman"/>
          <w:i/>
          <w:iCs/>
          <w:sz w:val="20"/>
          <w:szCs w:val="20"/>
          <w:lang w:val="en-GB"/>
        </w:rPr>
        <w:t>University of Belgrade, Faculty of Medicine, Serbia</w:t>
      </w:r>
    </w:p>
    <w:p w14:paraId="1DA44E36" w14:textId="77777777" w:rsidR="00B800F6" w:rsidRPr="0093139C" w:rsidRDefault="00B800F6" w:rsidP="00B800F6">
      <w:pPr>
        <w:spacing w:after="0" w:line="240" w:lineRule="auto"/>
        <w:jc w:val="both"/>
        <w:rPr>
          <w:rFonts w:ascii="Times New Roman" w:hAnsi="Times New Roman" w:cs="Times New Roman"/>
          <w:i/>
          <w:iCs/>
          <w:sz w:val="20"/>
          <w:szCs w:val="20"/>
          <w:lang w:val="en-GB"/>
        </w:rPr>
      </w:pPr>
      <w:r w:rsidRPr="0093139C">
        <w:rPr>
          <w:rFonts w:ascii="Times New Roman" w:hAnsi="Times New Roman" w:cs="Times New Roman"/>
          <w:i/>
          <w:iCs/>
          <w:sz w:val="20"/>
          <w:szCs w:val="20"/>
          <w:vertAlign w:val="superscript"/>
          <w:lang w:val="en-GB"/>
        </w:rPr>
        <w:t>5</w:t>
      </w:r>
      <w:r w:rsidRPr="0093139C">
        <w:rPr>
          <w:rFonts w:ascii="Times New Roman" w:hAnsi="Times New Roman" w:cs="Times New Roman"/>
          <w:i/>
          <w:iCs/>
          <w:sz w:val="20"/>
          <w:szCs w:val="20"/>
          <w:lang w:val="en-GB"/>
        </w:rPr>
        <w:t>University of Belgrade, Faculty of Dental Medicine, Serbia</w:t>
      </w:r>
    </w:p>
    <w:p w14:paraId="43592417" w14:textId="77777777" w:rsidR="00B800F6" w:rsidRPr="008C19AA" w:rsidRDefault="00B800F6" w:rsidP="00B800F6">
      <w:pPr>
        <w:spacing w:after="0" w:line="240" w:lineRule="auto"/>
        <w:jc w:val="both"/>
        <w:rPr>
          <w:rFonts w:ascii="Times New Roman" w:hAnsi="Times New Roman" w:cs="Times New Roman"/>
          <w:i/>
          <w:iCs/>
          <w:sz w:val="20"/>
          <w:szCs w:val="20"/>
          <w:lang w:val="sr-Latn-RS"/>
        </w:rPr>
      </w:pPr>
    </w:p>
    <w:p w14:paraId="4DCA6238" w14:textId="77777777" w:rsidR="00B800F6" w:rsidRPr="00010813" w:rsidRDefault="00B800F6" w:rsidP="00B800F6">
      <w:pPr>
        <w:autoSpaceDE w:val="0"/>
        <w:autoSpaceDN w:val="0"/>
        <w:adjustRightInd w:val="0"/>
        <w:spacing w:line="240" w:lineRule="auto"/>
        <w:jc w:val="both"/>
        <w:rPr>
          <w:rFonts w:ascii="Times New Roman" w:hAnsi="Times New Roman" w:cs="Times New Roman"/>
          <w:sz w:val="22"/>
          <w:szCs w:val="22"/>
        </w:rPr>
      </w:pPr>
      <w:r w:rsidRPr="00010813">
        <w:rPr>
          <w:rFonts w:ascii="Times New Roman" w:hAnsi="Times New Roman" w:cs="Times New Roman"/>
          <w:sz w:val="22"/>
          <w:szCs w:val="22"/>
        </w:rPr>
        <w:t>Interprofessional education is specific and demanding segment of health professionals’ education which, contrary to more traditional uniprofessional courses, is focused on development of transferable skills, professional values, attitudes and capabilities and competencies for the future real collaborative practice.   Therefore, it calls for specific teaching skills which go beyond the content expertise to include open teaching process (in which there are multiple right answers to complex holistic problems) and design of dynamic and emergent curriculum (in which teacher responds to input received from learners and adjusts learning and teaching activities accordingly). Moreover, health professions are among the few regulated professions entitled to mutual recognition of professional qualifications according to the Directive 2013/55/EU. This brings additional responsibilities to higher education institutions (HEIs) across the EU which are expected to establish comparable and harmonised curricula leading to relevant professional qualifications.</w:t>
      </w:r>
    </w:p>
    <w:p w14:paraId="6826CC58" w14:textId="77777777" w:rsidR="00B800F6" w:rsidRPr="00010813" w:rsidRDefault="00B800F6" w:rsidP="00B800F6">
      <w:pPr>
        <w:autoSpaceDE w:val="0"/>
        <w:autoSpaceDN w:val="0"/>
        <w:adjustRightInd w:val="0"/>
        <w:spacing w:line="240" w:lineRule="auto"/>
        <w:jc w:val="both"/>
        <w:rPr>
          <w:rFonts w:ascii="Times New Roman" w:hAnsi="Times New Roman" w:cs="Times New Roman"/>
          <w:sz w:val="22"/>
          <w:szCs w:val="22"/>
        </w:rPr>
      </w:pPr>
      <w:r w:rsidRPr="00010813">
        <w:rPr>
          <w:rFonts w:ascii="Times New Roman" w:hAnsi="Times New Roman" w:cs="Times New Roman"/>
          <w:sz w:val="22"/>
          <w:szCs w:val="22"/>
        </w:rPr>
        <w:t>Aging population with multiple chronic conditions, new advanced therapy medicinal products, antimicrobial stewardship and limited resources are some of the challenges in healthcare provision which call for immediate action. It has been recognised that, in order to effectively respond to increasingly complex healthcare challenges and contribute to improved patient outcomes, health services/systems shift towards the integrated healthcare is inevitable (Zonneveld et al, 2020; WHO, 2022). Thistlethwaite (2023) argues that “A major barrier to developing competencies for integrated care delivery is the lack of sufficient models to observe and be immersed in during education and training.” IPE is sought as the way to better prepare health professionals for future collaborative practice and has been promoted as one of the priorities for health professions education (Thibault, 2020). It is emphasized that “interprofessional learners must be engaged through real, meaningful work that advances patient care and their own professional development” (Thibault, 2020).</w:t>
      </w:r>
    </w:p>
    <w:p w14:paraId="337A292E" w14:textId="77777777" w:rsidR="00B800F6" w:rsidRPr="0093139C" w:rsidRDefault="00B800F6" w:rsidP="00B800F6">
      <w:pPr>
        <w:autoSpaceDE w:val="0"/>
        <w:autoSpaceDN w:val="0"/>
        <w:adjustRightInd w:val="0"/>
        <w:spacing w:line="240" w:lineRule="auto"/>
        <w:jc w:val="both"/>
        <w:rPr>
          <w:rFonts w:ascii="Times New Roman" w:hAnsi="Times New Roman" w:cs="Times New Roman"/>
          <w:sz w:val="22"/>
          <w:szCs w:val="22"/>
          <w:lang w:val="en-GB"/>
        </w:rPr>
      </w:pPr>
      <w:r w:rsidRPr="00010813">
        <w:rPr>
          <w:rFonts w:ascii="Times New Roman" w:hAnsi="Times New Roman" w:cs="Times New Roman"/>
          <w:sz w:val="22"/>
          <w:szCs w:val="22"/>
        </w:rPr>
        <w:t xml:space="preserve">WhoLe IPE project (2024-2027, coordinator: University of Belgrade (Serbia), partners: Trinity College Dublin (Ireland), Poznan University of Medical Sciences (Poland) is aimed at the enhancement of health </w:t>
      </w:r>
      <w:r w:rsidRPr="0093139C">
        <w:rPr>
          <w:rFonts w:ascii="Times New Roman" w:hAnsi="Times New Roman" w:cs="Times New Roman"/>
          <w:sz w:val="22"/>
          <w:szCs w:val="22"/>
          <w:lang w:val="en-GB"/>
        </w:rPr>
        <w:t xml:space="preserve">professionals’ competencies and patient healthcare through development and implementation of innovative learning and teaching practices in health professions education. This will be addressed through: (1) implementation of the reinforced and reconstructed interprofessional education (IPE) curricula at the undergraduate level; (2) joint continuing professional development program (CPD) on the integrated healthcare, and (3) advanced teaching competencies development (TCD) program for educators (academic staff and clinical supervisors) engaged in health </w:t>
      </w:r>
      <w:proofErr w:type="gramStart"/>
      <w:r w:rsidRPr="0093139C">
        <w:rPr>
          <w:rFonts w:ascii="Times New Roman" w:hAnsi="Times New Roman" w:cs="Times New Roman"/>
          <w:sz w:val="22"/>
          <w:szCs w:val="22"/>
          <w:lang w:val="en-GB"/>
        </w:rPr>
        <w:t>p</w:t>
      </w:r>
      <w:r>
        <w:rPr>
          <w:rFonts w:ascii="Times New Roman" w:hAnsi="Times New Roman" w:cs="Times New Roman"/>
          <w:sz w:val="22"/>
          <w:szCs w:val="22"/>
          <w:lang w:val="en-GB"/>
        </w:rPr>
        <w:t>rofessionals</w:t>
      </w:r>
      <w:proofErr w:type="gramEnd"/>
      <w:r w:rsidRPr="0093139C">
        <w:rPr>
          <w:rFonts w:ascii="Times New Roman" w:hAnsi="Times New Roman" w:cs="Times New Roman"/>
          <w:sz w:val="22"/>
          <w:szCs w:val="22"/>
          <w:lang w:val="en-GB"/>
        </w:rPr>
        <w:t xml:space="preserve"> education. It is envisioned that this innovative learning and teaching practices will include technology supported learning and teaching, as well as the innovative principles and approaches of the “pedagogy for uncertain time” as </w:t>
      </w:r>
      <w:r w:rsidRPr="0093139C">
        <w:rPr>
          <w:rFonts w:ascii="Times New Roman" w:hAnsi="Times New Roman" w:cs="Times New Roman"/>
          <w:noProof/>
          <w:sz w:val="22"/>
          <w:szCs w:val="22"/>
          <w:lang w:val="en-GB"/>
        </w:rPr>
        <w:t>defined by Tauritz.</w:t>
      </w:r>
      <w:r w:rsidRPr="0093139C">
        <w:rPr>
          <w:rFonts w:ascii="Times New Roman" w:hAnsi="Times New Roman" w:cs="Times New Roman"/>
          <w:sz w:val="22"/>
          <w:szCs w:val="22"/>
          <w:lang w:val="en-GB"/>
        </w:rPr>
        <w:t xml:space="preserve"> </w:t>
      </w:r>
    </w:p>
    <w:p w14:paraId="708AA20C" w14:textId="77777777" w:rsidR="00B800F6" w:rsidRPr="0093139C" w:rsidRDefault="00B800F6" w:rsidP="00B800F6">
      <w:pPr>
        <w:jc w:val="both"/>
        <w:rPr>
          <w:rFonts w:ascii="Times New Roman" w:hAnsi="Times New Roman" w:cs="Times New Roman"/>
          <w:sz w:val="22"/>
          <w:szCs w:val="22"/>
          <w:lang w:val="en-GB"/>
        </w:rPr>
      </w:pPr>
      <w:r w:rsidRPr="0093139C">
        <w:rPr>
          <w:rFonts w:ascii="Times New Roman" w:hAnsi="Times New Roman" w:cs="Times New Roman"/>
          <w:sz w:val="22"/>
          <w:szCs w:val="22"/>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715C505F" w14:textId="3720C9C5" w:rsidR="00290C76" w:rsidRPr="00B800F6" w:rsidRDefault="00B800F6" w:rsidP="00B800F6">
      <w:pPr>
        <w:jc w:val="both"/>
        <w:rPr>
          <w:rFonts w:ascii="Times New Roman" w:hAnsi="Times New Roman" w:cs="Times New Roman"/>
          <w:i/>
          <w:iCs/>
          <w:sz w:val="21"/>
          <w:szCs w:val="21"/>
        </w:rPr>
      </w:pPr>
      <w:r w:rsidRPr="008C19AA">
        <w:rPr>
          <w:rFonts w:ascii="Times New Roman" w:hAnsi="Times New Roman" w:cs="Times New Roman"/>
          <w:b/>
          <w:bCs/>
          <w:i/>
          <w:iCs/>
        </w:rPr>
        <w:t>Keywords:</w:t>
      </w:r>
      <w:r>
        <w:rPr>
          <w:rFonts w:ascii="Times New Roman" w:hAnsi="Times New Roman" w:cs="Times New Roman"/>
          <w:i/>
          <w:iCs/>
          <w:sz w:val="21"/>
          <w:szCs w:val="21"/>
        </w:rPr>
        <w:t xml:space="preserve"> </w:t>
      </w:r>
      <w:r w:rsidRPr="008C19AA">
        <w:rPr>
          <w:rFonts w:ascii="Times New Roman" w:hAnsi="Times New Roman" w:cs="Times New Roman"/>
          <w:i/>
          <w:iCs/>
          <w:sz w:val="22"/>
          <w:szCs w:val="22"/>
        </w:rPr>
        <w:t xml:space="preserve">interprofessional education; collaborative practice; WhoLe IPE; </w:t>
      </w:r>
    </w:p>
    <w:sectPr w:rsidR="00290C76" w:rsidRPr="00B800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76"/>
    <w:rsid w:val="00290C76"/>
    <w:rsid w:val="00547573"/>
    <w:rsid w:val="00B800F6"/>
    <w:rsid w:val="00EE2247"/>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2A48"/>
  <w15:chartTrackingRefBased/>
  <w15:docId w15:val="{ED3DE584-2E06-B443-AC85-7D82E6B9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C76"/>
    <w:rPr>
      <w:rFonts w:eastAsiaTheme="majorEastAsia" w:cstheme="majorBidi"/>
      <w:color w:val="272727" w:themeColor="text1" w:themeTint="D8"/>
    </w:rPr>
  </w:style>
  <w:style w:type="paragraph" w:styleId="Title">
    <w:name w:val="Title"/>
    <w:basedOn w:val="Normal"/>
    <w:next w:val="Normal"/>
    <w:link w:val="TitleChar"/>
    <w:uiPriority w:val="10"/>
    <w:qFormat/>
    <w:rsid w:val="00290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C76"/>
    <w:pPr>
      <w:spacing w:before="160"/>
      <w:jc w:val="center"/>
    </w:pPr>
    <w:rPr>
      <w:i/>
      <w:iCs/>
      <w:color w:val="404040" w:themeColor="text1" w:themeTint="BF"/>
    </w:rPr>
  </w:style>
  <w:style w:type="character" w:customStyle="1" w:styleId="QuoteChar">
    <w:name w:val="Quote Char"/>
    <w:basedOn w:val="DefaultParagraphFont"/>
    <w:link w:val="Quote"/>
    <w:uiPriority w:val="29"/>
    <w:rsid w:val="00290C76"/>
    <w:rPr>
      <w:i/>
      <w:iCs/>
      <w:color w:val="404040" w:themeColor="text1" w:themeTint="BF"/>
    </w:rPr>
  </w:style>
  <w:style w:type="paragraph" w:styleId="ListParagraph">
    <w:name w:val="List Paragraph"/>
    <w:basedOn w:val="Normal"/>
    <w:uiPriority w:val="34"/>
    <w:qFormat/>
    <w:rsid w:val="00290C76"/>
    <w:pPr>
      <w:ind w:left="720"/>
      <w:contextualSpacing/>
    </w:pPr>
  </w:style>
  <w:style w:type="character" w:styleId="IntenseEmphasis">
    <w:name w:val="Intense Emphasis"/>
    <w:basedOn w:val="DefaultParagraphFont"/>
    <w:uiPriority w:val="21"/>
    <w:qFormat/>
    <w:rsid w:val="00290C76"/>
    <w:rPr>
      <w:i/>
      <w:iCs/>
      <w:color w:val="0F4761" w:themeColor="accent1" w:themeShade="BF"/>
    </w:rPr>
  </w:style>
  <w:style w:type="paragraph" w:styleId="IntenseQuote">
    <w:name w:val="Intense Quote"/>
    <w:basedOn w:val="Normal"/>
    <w:next w:val="Normal"/>
    <w:link w:val="IntenseQuoteChar"/>
    <w:uiPriority w:val="30"/>
    <w:qFormat/>
    <w:rsid w:val="00290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C76"/>
    <w:rPr>
      <w:i/>
      <w:iCs/>
      <w:color w:val="0F4761" w:themeColor="accent1" w:themeShade="BF"/>
    </w:rPr>
  </w:style>
  <w:style w:type="character" w:styleId="IntenseReference">
    <w:name w:val="Intense Reference"/>
    <w:basedOn w:val="DefaultParagraphFont"/>
    <w:uiPriority w:val="32"/>
    <w:qFormat/>
    <w:rsid w:val="00290C76"/>
    <w:rPr>
      <w:b/>
      <w:bCs/>
      <w:smallCaps/>
      <w:color w:val="0F4761" w:themeColor="accent1" w:themeShade="BF"/>
      <w:spacing w:val="5"/>
    </w:rPr>
  </w:style>
  <w:style w:type="paragraph" w:customStyle="1" w:styleId="p1">
    <w:name w:val="p1"/>
    <w:basedOn w:val="Normal"/>
    <w:rsid w:val="00B800F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neskov</dc:creator>
  <cp:keywords/>
  <dc:description/>
  <cp:lastModifiedBy>lea neskov</cp:lastModifiedBy>
  <cp:revision>2</cp:revision>
  <dcterms:created xsi:type="dcterms:W3CDTF">2026-03-20T11:50:00Z</dcterms:created>
  <dcterms:modified xsi:type="dcterms:W3CDTF">2026-03-20T11:50:00Z</dcterms:modified>
</cp:coreProperties>
</file>